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543DC" w14:textId="55DD068A" w:rsidR="0056375E" w:rsidRPr="0056375E" w:rsidRDefault="0024527A" w:rsidP="007D566A">
      <w:pPr>
        <w:spacing w:after="0" w:line="240" w:lineRule="auto"/>
        <w:ind w:right="-292"/>
        <w:rPr>
          <w:rFonts w:asciiTheme="majorHAnsi" w:eastAsiaTheme="minorEastAsia" w:hAnsiTheme="majorHAnsi" w:cstheme="majorHAnsi"/>
          <w:bCs/>
          <w:iCs/>
          <w:color w:val="auto"/>
          <w:szCs w:val="24"/>
          <w:lang w:val="en-GB" w:eastAsia="sv-SE"/>
        </w:rPr>
      </w:pPr>
      <w:bookmarkStart w:id="0" w:name="_GoBack"/>
      <w:bookmarkEnd w:id="0"/>
      <w:r>
        <w:rPr>
          <w:rFonts w:asciiTheme="majorHAnsi" w:eastAsiaTheme="minorEastAsia" w:hAnsiTheme="majorHAnsi" w:cstheme="majorHAnsi"/>
          <w:bCs/>
          <w:color w:val="auto"/>
          <w:szCs w:val="24"/>
          <w:lang w:val="en-GB" w:eastAsia="sv-SE"/>
        </w:rPr>
        <w:t>Press release</w:t>
      </w:r>
      <w:r w:rsidRPr="00901D44">
        <w:rPr>
          <w:rFonts w:asciiTheme="majorHAnsi" w:eastAsiaTheme="minorEastAsia" w:hAnsiTheme="majorHAnsi" w:cstheme="majorHAnsi"/>
          <w:bCs/>
          <w:color w:val="auto"/>
          <w:szCs w:val="24"/>
          <w:lang w:val="en-GB" w:eastAsia="sv-SE"/>
        </w:rPr>
        <w:t xml:space="preserve">, </w:t>
      </w:r>
      <w:r w:rsidR="00500D33">
        <w:rPr>
          <w:rFonts w:asciiTheme="majorHAnsi" w:eastAsiaTheme="minorEastAsia" w:hAnsiTheme="majorHAnsi" w:cstheme="majorHAnsi"/>
          <w:bCs/>
          <w:color w:val="auto"/>
          <w:szCs w:val="24"/>
          <w:lang w:val="en-GB" w:eastAsia="sv-SE"/>
        </w:rPr>
        <w:t>10</w:t>
      </w:r>
      <w:r w:rsidR="002C5BFD" w:rsidRPr="00901D44">
        <w:rPr>
          <w:rFonts w:asciiTheme="majorHAnsi" w:eastAsiaTheme="minorEastAsia" w:hAnsiTheme="majorHAnsi" w:cstheme="majorHAnsi"/>
          <w:bCs/>
          <w:color w:val="auto"/>
          <w:szCs w:val="24"/>
          <w:lang w:val="en-GB" w:eastAsia="sv-SE"/>
        </w:rPr>
        <w:t xml:space="preserve"> </w:t>
      </w:r>
      <w:r w:rsidR="00A05728">
        <w:rPr>
          <w:rFonts w:asciiTheme="majorHAnsi" w:eastAsiaTheme="minorEastAsia" w:hAnsiTheme="majorHAnsi" w:cstheme="majorHAnsi"/>
          <w:bCs/>
          <w:iCs/>
          <w:color w:val="auto"/>
          <w:szCs w:val="24"/>
          <w:lang w:val="en-GB" w:eastAsia="sv-SE"/>
        </w:rPr>
        <w:t>November</w:t>
      </w:r>
      <w:r w:rsidR="003A60FB">
        <w:rPr>
          <w:rFonts w:asciiTheme="majorHAnsi" w:eastAsiaTheme="minorEastAsia" w:hAnsiTheme="majorHAnsi" w:cstheme="majorHAnsi"/>
          <w:bCs/>
          <w:color w:val="auto"/>
          <w:szCs w:val="24"/>
          <w:lang w:val="en-GB" w:eastAsia="sv-SE"/>
        </w:rPr>
        <w:t xml:space="preserve"> </w:t>
      </w:r>
      <w:r w:rsidR="0056375E" w:rsidRPr="0056375E">
        <w:rPr>
          <w:rFonts w:asciiTheme="majorHAnsi" w:eastAsiaTheme="minorEastAsia" w:hAnsiTheme="majorHAnsi" w:cstheme="majorHAnsi"/>
          <w:bCs/>
          <w:color w:val="auto"/>
          <w:szCs w:val="24"/>
          <w:lang w:val="en-GB" w:eastAsia="sv-SE"/>
        </w:rPr>
        <w:t>2022</w:t>
      </w:r>
    </w:p>
    <w:p w14:paraId="46FF23E8" w14:textId="77777777" w:rsidR="0056375E" w:rsidRPr="0056375E" w:rsidRDefault="0056375E" w:rsidP="007D566A">
      <w:pPr>
        <w:spacing w:after="0" w:line="240" w:lineRule="auto"/>
        <w:ind w:right="-292"/>
        <w:rPr>
          <w:rFonts w:asciiTheme="majorHAnsi" w:eastAsiaTheme="minorEastAsia" w:hAnsiTheme="majorHAnsi" w:cstheme="majorHAnsi"/>
          <w:bCs/>
          <w:iCs/>
          <w:color w:val="auto"/>
          <w:sz w:val="22"/>
          <w:szCs w:val="24"/>
          <w:lang w:val="en-GB" w:eastAsia="sv-SE"/>
        </w:rPr>
      </w:pPr>
    </w:p>
    <w:p w14:paraId="4F6FCEB4" w14:textId="6D149005" w:rsidR="00FC098F" w:rsidRPr="00921449" w:rsidRDefault="00DC6D25" w:rsidP="007D566A">
      <w:pPr>
        <w:spacing w:after="0" w:line="240" w:lineRule="auto"/>
        <w:ind w:right="-292"/>
        <w:rPr>
          <w:rFonts w:asciiTheme="majorHAnsi" w:eastAsiaTheme="minorEastAsia" w:hAnsiTheme="majorHAnsi" w:cstheme="majorHAnsi"/>
          <w:b/>
          <w:bCs/>
          <w:iCs/>
          <w:color w:val="auto"/>
          <w:sz w:val="24"/>
          <w:szCs w:val="24"/>
          <w:lang w:val="en-GB" w:eastAsia="sv-SE"/>
        </w:rPr>
      </w:pPr>
      <w:r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val="en-GB" w:eastAsia="sv-SE"/>
        </w:rPr>
        <w:t>Calligo (UK) Limited</w:t>
      </w:r>
      <w:r w:rsidR="00EC1392" w:rsidRPr="00921449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val="en-GB" w:eastAsia="sv-SE"/>
        </w:rPr>
        <w:t xml:space="preserve"> </w:t>
      </w:r>
      <w:r w:rsidR="00A05728">
        <w:rPr>
          <w:rFonts w:asciiTheme="majorHAnsi" w:eastAsiaTheme="minorEastAsia" w:hAnsiTheme="majorHAnsi" w:cstheme="majorHAnsi"/>
          <w:b/>
          <w:bCs/>
          <w:iCs/>
          <w:color w:val="auto"/>
          <w:sz w:val="24"/>
          <w:szCs w:val="24"/>
          <w:lang w:val="en-GB" w:eastAsia="sv-SE"/>
        </w:rPr>
        <w:t>publishes bond prospectus and applies for admission to trading of its bonds on</w:t>
      </w:r>
      <w:r w:rsidR="002F2A2B">
        <w:rPr>
          <w:rFonts w:asciiTheme="majorHAnsi" w:eastAsiaTheme="minorEastAsia" w:hAnsiTheme="majorHAnsi" w:cstheme="majorHAnsi"/>
          <w:b/>
          <w:bCs/>
          <w:iCs/>
          <w:color w:val="auto"/>
          <w:sz w:val="24"/>
          <w:szCs w:val="24"/>
          <w:lang w:val="en-GB" w:eastAsia="sv-SE"/>
        </w:rPr>
        <w:t xml:space="preserve"> the corporate bond list of </w:t>
      </w:r>
      <w:r w:rsidR="00A05728">
        <w:rPr>
          <w:rFonts w:asciiTheme="majorHAnsi" w:eastAsiaTheme="minorEastAsia" w:hAnsiTheme="majorHAnsi" w:cstheme="majorHAnsi"/>
          <w:b/>
          <w:bCs/>
          <w:iCs/>
          <w:color w:val="auto"/>
          <w:sz w:val="24"/>
          <w:szCs w:val="24"/>
          <w:lang w:val="en-GB" w:eastAsia="sv-SE"/>
        </w:rPr>
        <w:t>Nasdaq Stockholm</w:t>
      </w:r>
    </w:p>
    <w:p w14:paraId="7D061661" w14:textId="06B2FC16" w:rsidR="00FC098F" w:rsidRPr="00A05728" w:rsidRDefault="00FC098F" w:rsidP="007D566A">
      <w:pPr>
        <w:pStyle w:val="NoSpacing"/>
        <w:jc w:val="both"/>
        <w:rPr>
          <w:rFonts w:eastAsia="Times New Roman" w:cs="Arial"/>
          <w:iCs/>
          <w:color w:val="auto"/>
          <w:szCs w:val="20"/>
          <w:lang w:eastAsia="sv-SE"/>
        </w:rPr>
      </w:pPr>
    </w:p>
    <w:p w14:paraId="3CC5D9D6" w14:textId="2A5BDB29" w:rsidR="00A05728" w:rsidRDefault="00A05728" w:rsidP="007D566A">
      <w:pPr>
        <w:shd w:val="clear" w:color="auto" w:fill="FFFFFF"/>
        <w:spacing w:after="0" w:line="240" w:lineRule="auto"/>
        <w:rPr>
          <w:rFonts w:eastAsia="Times New Roman" w:cs="Arial"/>
          <w:color w:val="auto"/>
          <w:szCs w:val="20"/>
          <w:lang w:val="en-GB" w:eastAsia="sv-SE"/>
        </w:rPr>
      </w:pPr>
      <w:r>
        <w:rPr>
          <w:rFonts w:eastAsia="Times New Roman" w:cs="Arial"/>
          <w:color w:val="auto"/>
          <w:szCs w:val="20"/>
          <w:lang w:val="en-GB" w:eastAsia="sv-SE"/>
        </w:rPr>
        <w:t>On</w:t>
      </w:r>
      <w:r w:rsidR="002F2A2B">
        <w:rPr>
          <w:rFonts w:eastAsia="Times New Roman" w:cs="Arial"/>
          <w:color w:val="auto"/>
          <w:szCs w:val="20"/>
          <w:lang w:val="en-GB" w:eastAsia="sv-SE"/>
        </w:rPr>
        <w:t xml:space="preserve"> 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29 December 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2021, 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Calligo (UK) Limited </w:t>
      </w:r>
      <w:r w:rsidRPr="00921449">
        <w:rPr>
          <w:rFonts w:eastAsia="Times New Roman" w:cs="Arial"/>
          <w:color w:val="auto"/>
          <w:szCs w:val="20"/>
          <w:lang w:val="en-GB" w:eastAsia="sv-SE"/>
        </w:rPr>
        <w:t>(the “</w:t>
      </w:r>
      <w:r w:rsidRPr="00921449">
        <w:rPr>
          <w:rFonts w:eastAsia="Times New Roman" w:cs="Arial"/>
          <w:b/>
          <w:color w:val="auto"/>
          <w:szCs w:val="20"/>
          <w:lang w:val="en-GB" w:eastAsia="sv-SE"/>
        </w:rPr>
        <w:t>Company</w:t>
      </w:r>
      <w:r w:rsidRPr="00921449">
        <w:rPr>
          <w:rFonts w:eastAsia="Times New Roman" w:cs="Arial"/>
          <w:color w:val="auto"/>
          <w:szCs w:val="20"/>
          <w:lang w:val="en-GB" w:eastAsia="sv-SE"/>
        </w:rPr>
        <w:t>” or “</w:t>
      </w:r>
      <w:r>
        <w:rPr>
          <w:rFonts w:eastAsia="Times New Roman" w:cs="Arial"/>
          <w:b/>
          <w:color w:val="auto"/>
          <w:szCs w:val="20"/>
          <w:lang w:val="en-GB" w:eastAsia="sv-SE"/>
        </w:rPr>
        <w:t>Calligo</w:t>
      </w:r>
      <w:r w:rsidRPr="00921449">
        <w:rPr>
          <w:rFonts w:eastAsia="Times New Roman" w:cs="Arial"/>
          <w:color w:val="auto"/>
          <w:szCs w:val="20"/>
          <w:lang w:val="en-GB" w:eastAsia="sv-SE"/>
        </w:rPr>
        <w:t>”)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 issued senior</w:t>
      </w:r>
      <w:r w:rsidR="002F2A2B">
        <w:rPr>
          <w:rFonts w:eastAsia="Times New Roman" w:cs="Arial"/>
          <w:color w:val="auto"/>
          <w:szCs w:val="20"/>
          <w:lang w:val="en-GB" w:eastAsia="sv-SE"/>
        </w:rPr>
        <w:t xml:space="preserve"> secured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 callable floating rate bonds 2021/2024 with ISIN </w:t>
      </w:r>
      <w:r w:rsidRPr="00087B68">
        <w:rPr>
          <w:rFonts w:eastAsia="Times New Roman" w:cs="Arial"/>
          <w:color w:val="auto"/>
          <w:szCs w:val="20"/>
          <w:lang w:val="en-GB" w:eastAsia="sv-SE"/>
        </w:rPr>
        <w:t>NO0011179806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 in </w:t>
      </w:r>
      <w:r w:rsidR="002F2A2B">
        <w:rPr>
          <w:rFonts w:eastAsia="Times New Roman" w:cs="Arial"/>
          <w:color w:val="auto"/>
          <w:szCs w:val="20"/>
          <w:lang w:val="en-GB" w:eastAsia="sv-SE"/>
        </w:rPr>
        <w:t>an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 amount of 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EUR 50,000,000 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>(the “</w:t>
      </w:r>
      <w:r w:rsidRPr="00A05728">
        <w:rPr>
          <w:rFonts w:eastAsia="Times New Roman" w:cs="Arial"/>
          <w:b/>
          <w:color w:val="auto"/>
          <w:szCs w:val="20"/>
          <w:lang w:val="en-GB" w:eastAsia="sv-SE"/>
        </w:rPr>
        <w:t>Bonds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”). </w:t>
      </w:r>
      <w:r w:rsidR="002F2A2B">
        <w:rPr>
          <w:rFonts w:eastAsia="Times New Roman" w:cs="Arial"/>
          <w:color w:val="auto"/>
          <w:szCs w:val="20"/>
          <w:lang w:val="en-GB" w:eastAsia="sv-SE"/>
        </w:rPr>
        <w:t>Under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 the terms and conditions of the Bonds, 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Calligo 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has 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undertaken to 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apply for admission to trading of the Bonds on the corporate bond list of Nasdaq Stockholm. For the purpose of the admission to trading, </w:t>
      </w:r>
      <w:r>
        <w:rPr>
          <w:rFonts w:eastAsia="Times New Roman" w:cs="Arial"/>
          <w:color w:val="auto"/>
          <w:szCs w:val="20"/>
          <w:lang w:val="en-GB" w:eastAsia="sv-SE"/>
        </w:rPr>
        <w:t xml:space="preserve">Calligo 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has prepared a listing prospectus which has </w:t>
      </w:r>
      <w:r w:rsidR="002F2A2B">
        <w:rPr>
          <w:rFonts w:eastAsia="Times New Roman" w:cs="Arial"/>
          <w:color w:val="auto"/>
          <w:szCs w:val="20"/>
          <w:lang w:val="en-GB" w:eastAsia="sv-SE"/>
        </w:rPr>
        <w:t xml:space="preserve">today 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>been approved by the Swedish Financial Supervisory Authority</w:t>
      </w:r>
      <w:r>
        <w:rPr>
          <w:rFonts w:eastAsia="Times New Roman" w:cs="Arial"/>
          <w:color w:val="auto"/>
          <w:szCs w:val="20"/>
          <w:lang w:val="en-GB" w:eastAsia="sv-SE"/>
        </w:rPr>
        <w:t>.</w:t>
      </w:r>
      <w:r w:rsidR="002560E1">
        <w:rPr>
          <w:rFonts w:eastAsia="Times New Roman" w:cs="Arial"/>
          <w:color w:val="auto"/>
          <w:szCs w:val="20"/>
          <w:lang w:val="en-GB" w:eastAsia="sv-SE"/>
        </w:rPr>
        <w:t xml:space="preserve"> </w:t>
      </w:r>
      <w:r w:rsidR="002560E1" w:rsidRPr="002560E1">
        <w:rPr>
          <w:rFonts w:eastAsia="Times New Roman" w:cs="Arial"/>
          <w:color w:val="auto"/>
          <w:szCs w:val="20"/>
          <w:lang w:val="en-GB" w:eastAsia="sv-SE"/>
        </w:rPr>
        <w:t>Calligo will submit an application for admission to trading of the Bonds and the first trading day on Nasdaq Stockholm i</w:t>
      </w:r>
      <w:r w:rsidR="007243D7">
        <w:rPr>
          <w:rFonts w:eastAsia="Times New Roman" w:cs="Arial"/>
          <w:color w:val="auto"/>
          <w:szCs w:val="20"/>
          <w:lang w:val="en-GB" w:eastAsia="sv-SE"/>
        </w:rPr>
        <w:t xml:space="preserve">s expected to be on or about </w:t>
      </w:r>
      <w:r w:rsidR="003B508D">
        <w:rPr>
          <w:rFonts w:eastAsia="Times New Roman" w:cs="Arial"/>
          <w:color w:val="auto"/>
          <w:szCs w:val="20"/>
          <w:lang w:val="en-GB" w:eastAsia="sv-SE"/>
        </w:rPr>
        <w:t>1</w:t>
      </w:r>
      <w:r w:rsidR="001635B7">
        <w:rPr>
          <w:rFonts w:eastAsia="Times New Roman" w:cs="Arial"/>
          <w:color w:val="auto"/>
          <w:szCs w:val="20"/>
          <w:lang w:val="en-GB" w:eastAsia="sv-SE"/>
        </w:rPr>
        <w:t>5</w:t>
      </w:r>
      <w:r w:rsidR="002560E1" w:rsidRPr="002560E1">
        <w:rPr>
          <w:rFonts w:eastAsia="Times New Roman" w:cs="Arial"/>
          <w:color w:val="auto"/>
          <w:szCs w:val="20"/>
          <w:lang w:val="en-GB" w:eastAsia="sv-SE"/>
        </w:rPr>
        <w:t xml:space="preserve"> November 2022.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The prospectus will be available at </w:t>
      </w:r>
      <w:r w:rsidR="002560E1">
        <w:rPr>
          <w:rFonts w:eastAsia="Times New Roman" w:cs="Arial"/>
          <w:color w:val="auto"/>
          <w:szCs w:val="20"/>
          <w:lang w:val="en-GB" w:eastAsia="sv-SE"/>
        </w:rPr>
        <w:t>Calligo’s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 xml:space="preserve"> website </w:t>
      </w:r>
      <w:r w:rsidR="002F2A2B">
        <w:rPr>
          <w:rFonts w:eastAsia="Times New Roman" w:cs="Arial"/>
          <w:color w:val="auto"/>
          <w:szCs w:val="20"/>
          <w:lang w:val="en-GB" w:eastAsia="sv-SE"/>
        </w:rPr>
        <w:t>www.calligo.io</w:t>
      </w:r>
      <w:r w:rsidR="002560E1">
        <w:rPr>
          <w:rFonts w:eastAsia="Times New Roman" w:cs="Arial"/>
          <w:color w:val="auto"/>
          <w:szCs w:val="20"/>
          <w:lang w:val="en-GB" w:eastAsia="sv-SE"/>
        </w:rPr>
        <w:t xml:space="preserve"> </w:t>
      </w:r>
      <w:r w:rsidRPr="00A05728">
        <w:rPr>
          <w:rFonts w:eastAsia="Times New Roman" w:cs="Arial"/>
          <w:color w:val="auto"/>
          <w:szCs w:val="20"/>
          <w:lang w:val="en-GB" w:eastAsia="sv-SE"/>
        </w:rPr>
        <w:t>and the Swedish Financial Supervisory Authority’s website www.fi.se</w:t>
      </w:r>
      <w:r w:rsidR="002560E1">
        <w:rPr>
          <w:rFonts w:eastAsia="Times New Roman" w:cs="Arial"/>
          <w:color w:val="auto"/>
          <w:szCs w:val="20"/>
          <w:lang w:val="en-GB" w:eastAsia="sv-SE"/>
        </w:rPr>
        <w:t>.</w:t>
      </w:r>
    </w:p>
    <w:p w14:paraId="6FE8791C" w14:textId="473E492E" w:rsidR="00FA309E" w:rsidRDefault="00FA309E" w:rsidP="003E1BE5">
      <w:pPr>
        <w:shd w:val="clear" w:color="auto" w:fill="FFFFFF"/>
        <w:spacing w:after="0" w:line="240" w:lineRule="auto"/>
        <w:rPr>
          <w:rFonts w:eastAsia="Times New Roman" w:cs="Arial"/>
          <w:iCs/>
          <w:color w:val="auto"/>
          <w:szCs w:val="20"/>
          <w:lang w:val="en-GB" w:eastAsia="sv-SE"/>
        </w:rPr>
      </w:pPr>
    </w:p>
    <w:p w14:paraId="572E39E5" w14:textId="39FC50DD" w:rsidR="00FA309E" w:rsidRPr="00FA309E" w:rsidRDefault="00FA309E" w:rsidP="003E1BE5">
      <w:pPr>
        <w:shd w:val="clear" w:color="auto" w:fill="FFFFFF"/>
        <w:spacing w:after="0" w:line="240" w:lineRule="auto"/>
        <w:rPr>
          <w:rFonts w:eastAsia="Times New Roman" w:cs="Arial"/>
          <w:b/>
          <w:iCs/>
          <w:color w:val="auto"/>
          <w:szCs w:val="20"/>
          <w:lang w:val="en-GB" w:eastAsia="sv-SE"/>
        </w:rPr>
      </w:pPr>
      <w:r w:rsidRPr="00FA309E">
        <w:rPr>
          <w:rFonts w:eastAsia="Times New Roman" w:cs="Arial"/>
          <w:b/>
          <w:color w:val="auto"/>
          <w:szCs w:val="20"/>
          <w:lang w:val="en-GB" w:eastAsia="sv-SE"/>
        </w:rPr>
        <w:t>For further information, please contact:</w:t>
      </w:r>
    </w:p>
    <w:p w14:paraId="1FB7080D" w14:textId="29DA67AD" w:rsidR="00FA309E" w:rsidRDefault="00FA309E" w:rsidP="003E1BE5">
      <w:pPr>
        <w:shd w:val="clear" w:color="auto" w:fill="FFFFFF"/>
        <w:spacing w:after="0" w:line="240" w:lineRule="auto"/>
        <w:rPr>
          <w:rFonts w:eastAsia="Times New Roman" w:cs="Arial"/>
          <w:iCs/>
          <w:color w:val="auto"/>
          <w:szCs w:val="20"/>
          <w:lang w:val="en-GB" w:eastAsia="sv-SE"/>
        </w:rPr>
      </w:pPr>
      <w:r>
        <w:rPr>
          <w:rFonts w:eastAsia="Times New Roman" w:cs="Arial"/>
          <w:color w:val="auto"/>
          <w:szCs w:val="20"/>
          <w:lang w:val="en-GB" w:eastAsia="sv-SE"/>
        </w:rPr>
        <w:t>Julian Box, CEO</w:t>
      </w:r>
    </w:p>
    <w:p w14:paraId="1CC5BB77" w14:textId="4AFEE44B" w:rsidR="00D23426" w:rsidRPr="00921449" w:rsidRDefault="00D23426" w:rsidP="003E1BE5">
      <w:pPr>
        <w:shd w:val="clear" w:color="auto" w:fill="FFFFFF"/>
        <w:spacing w:after="0" w:line="240" w:lineRule="auto"/>
        <w:rPr>
          <w:rFonts w:eastAsia="Times New Roman" w:cs="Arial"/>
          <w:iCs/>
          <w:color w:val="auto"/>
          <w:szCs w:val="20"/>
          <w:lang w:val="en-GB" w:eastAsia="sv-SE"/>
        </w:rPr>
      </w:pPr>
      <w:r>
        <w:rPr>
          <w:rFonts w:eastAsia="Times New Roman" w:cs="Arial"/>
          <w:color w:val="auto"/>
          <w:szCs w:val="20"/>
          <w:lang w:val="en-GB" w:eastAsia="sv-SE"/>
        </w:rPr>
        <w:t xml:space="preserve">Telephone: </w:t>
      </w:r>
      <w:hyperlink r:id="rId8" w:tgtFrame="_blank" w:history="1">
        <w:r>
          <w:rPr>
            <w:rStyle w:val="Strong"/>
            <w:rFonts w:eastAsia="Times New Roman" w:cs="Arial"/>
            <w:b w:val="0"/>
            <w:bCs w:val="0"/>
            <w:color w:val="101820"/>
            <w:szCs w:val="20"/>
          </w:rPr>
          <w:t>+44 1534 873000</w:t>
        </w:r>
      </w:hyperlink>
    </w:p>
    <w:p w14:paraId="0F297AF2" w14:textId="790DA3C3" w:rsidR="003E1BE5" w:rsidRDefault="00D23426" w:rsidP="007D566A">
      <w:pPr>
        <w:shd w:val="clear" w:color="auto" w:fill="FFFFFF"/>
        <w:spacing w:after="0" w:line="240" w:lineRule="auto"/>
        <w:rPr>
          <w:rFonts w:eastAsia="Times New Roman" w:cs="Arial"/>
          <w:iCs/>
          <w:color w:val="auto"/>
          <w:szCs w:val="20"/>
          <w:lang w:val="en-GB" w:eastAsia="sv-SE"/>
        </w:rPr>
      </w:pPr>
      <w:r>
        <w:rPr>
          <w:rFonts w:eastAsia="Times New Roman" w:cs="Arial"/>
          <w:color w:val="auto"/>
          <w:szCs w:val="20"/>
          <w:lang w:val="en-GB" w:eastAsia="sv-SE"/>
        </w:rPr>
        <w:t xml:space="preserve">Email: </w:t>
      </w:r>
      <w:hyperlink r:id="rId9" w:history="1">
        <w:r w:rsidRPr="006C5D8D">
          <w:rPr>
            <w:rStyle w:val="Hyperlink"/>
            <w:rFonts w:eastAsia="Times New Roman" w:cs="Arial"/>
            <w:szCs w:val="20"/>
            <w:lang w:val="en-GB" w:eastAsia="sv-SE"/>
          </w:rPr>
          <w:t>Julian.Box@calligo.io</w:t>
        </w:r>
      </w:hyperlink>
    </w:p>
    <w:p w14:paraId="5BD4026B" w14:textId="77777777" w:rsidR="00D23426" w:rsidRPr="00921449" w:rsidRDefault="00D23426" w:rsidP="007D566A">
      <w:pPr>
        <w:shd w:val="clear" w:color="auto" w:fill="FFFFFF"/>
        <w:spacing w:after="0" w:line="240" w:lineRule="auto"/>
        <w:rPr>
          <w:rFonts w:eastAsia="Times New Roman" w:cs="Arial"/>
          <w:iCs/>
          <w:color w:val="auto"/>
          <w:szCs w:val="20"/>
          <w:lang w:val="en-GB" w:eastAsia="sv-SE"/>
        </w:rPr>
      </w:pPr>
    </w:p>
    <w:p w14:paraId="5B372044" w14:textId="12950CED" w:rsidR="00753D45" w:rsidRPr="000B44E6" w:rsidRDefault="00753D45" w:rsidP="007D566A">
      <w:pPr>
        <w:pStyle w:val="NoSpacing"/>
        <w:jc w:val="both"/>
        <w:rPr>
          <w:rFonts w:eastAsia="Times New Roman" w:cs="Arial"/>
          <w:color w:val="auto"/>
          <w:szCs w:val="20"/>
          <w:lang w:val="en-GB" w:eastAsia="sv-SE"/>
        </w:rPr>
      </w:pPr>
    </w:p>
    <w:sectPr w:rsidR="00753D45" w:rsidRPr="000B4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991E3" w14:textId="77777777" w:rsidR="00322A0D" w:rsidRDefault="00322A0D" w:rsidP="007A6EE1">
      <w:pPr>
        <w:spacing w:after="0" w:line="240" w:lineRule="auto"/>
      </w:pPr>
      <w:r>
        <w:separator/>
      </w:r>
    </w:p>
  </w:endnote>
  <w:endnote w:type="continuationSeparator" w:id="0">
    <w:p w14:paraId="36DDBE05" w14:textId="77777777" w:rsidR="00322A0D" w:rsidRDefault="00322A0D" w:rsidP="007A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C3CD6" w14:textId="77777777" w:rsidR="00416558" w:rsidRDefault="00416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9B35D" w14:textId="72874D22" w:rsidR="00416558" w:rsidRPr="00EB7B6D" w:rsidRDefault="006A4EFB" w:rsidP="006A4EFB">
    <w:pPr>
      <w:pStyle w:val="Footer"/>
      <w:jc w:val="right"/>
    </w:pPr>
    <w:bookmarkStart w:id="1" w:name="bkmDocID_FS"/>
    <w:bookmarkStart w:id="2" w:name="bkmDocID"/>
    <w:r w:rsidRPr="006A4EFB">
      <w:rPr>
        <w:rFonts w:ascii="Times New Roman" w:hAnsi="Times New Roman" w:cs="Times New Roman"/>
        <w:color w:val="A0A0A0"/>
        <w:sz w:val="14"/>
      </w:rPr>
      <w:t>D-5859185-v1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B2587" w14:textId="77777777" w:rsidR="00416558" w:rsidRDefault="00416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FA3E6" w14:textId="77777777" w:rsidR="00322A0D" w:rsidRDefault="00322A0D" w:rsidP="007A6EE1">
      <w:pPr>
        <w:spacing w:after="0" w:line="240" w:lineRule="auto"/>
      </w:pPr>
      <w:r>
        <w:separator/>
      </w:r>
    </w:p>
  </w:footnote>
  <w:footnote w:type="continuationSeparator" w:id="0">
    <w:p w14:paraId="3F10CA17" w14:textId="77777777" w:rsidR="00322A0D" w:rsidRDefault="00322A0D" w:rsidP="007A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E5209" w14:textId="77777777" w:rsidR="00416558" w:rsidRDefault="00416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E8A46" w14:textId="77777777" w:rsidR="00416558" w:rsidRDefault="00416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BBA3B" w14:textId="77777777" w:rsidR="00416558" w:rsidRDefault="00416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4710203-v1"/>
  </w:docVars>
  <w:rsids>
    <w:rsidRoot w:val="007132BE"/>
    <w:rsid w:val="000106D2"/>
    <w:rsid w:val="00027422"/>
    <w:rsid w:val="000826E4"/>
    <w:rsid w:val="00084F31"/>
    <w:rsid w:val="000852D8"/>
    <w:rsid w:val="00086106"/>
    <w:rsid w:val="00087B68"/>
    <w:rsid w:val="0009185F"/>
    <w:rsid w:val="000B44E6"/>
    <w:rsid w:val="000C5446"/>
    <w:rsid w:val="001069E7"/>
    <w:rsid w:val="00117C75"/>
    <w:rsid w:val="001346FE"/>
    <w:rsid w:val="00135A2A"/>
    <w:rsid w:val="00142A37"/>
    <w:rsid w:val="001635B7"/>
    <w:rsid w:val="0017205E"/>
    <w:rsid w:val="001732BC"/>
    <w:rsid w:val="00180D4A"/>
    <w:rsid w:val="0018397B"/>
    <w:rsid w:val="001B6ACE"/>
    <w:rsid w:val="001D0628"/>
    <w:rsid w:val="001F38BC"/>
    <w:rsid w:val="00227AC3"/>
    <w:rsid w:val="00243892"/>
    <w:rsid w:val="0024527A"/>
    <w:rsid w:val="002560E1"/>
    <w:rsid w:val="00283CA1"/>
    <w:rsid w:val="00292855"/>
    <w:rsid w:val="0029715A"/>
    <w:rsid w:val="002A0293"/>
    <w:rsid w:val="002A6CDF"/>
    <w:rsid w:val="002B5F89"/>
    <w:rsid w:val="002C5BFD"/>
    <w:rsid w:val="002E2BB8"/>
    <w:rsid w:val="002E2EA6"/>
    <w:rsid w:val="002E41E2"/>
    <w:rsid w:val="002F2A2B"/>
    <w:rsid w:val="0031518E"/>
    <w:rsid w:val="00322A0D"/>
    <w:rsid w:val="00366403"/>
    <w:rsid w:val="00373864"/>
    <w:rsid w:val="003870A1"/>
    <w:rsid w:val="00393F06"/>
    <w:rsid w:val="003A0C4A"/>
    <w:rsid w:val="003A1F3D"/>
    <w:rsid w:val="003A60FB"/>
    <w:rsid w:val="003B26C3"/>
    <w:rsid w:val="003B508D"/>
    <w:rsid w:val="003C1038"/>
    <w:rsid w:val="003C774A"/>
    <w:rsid w:val="003E1BE5"/>
    <w:rsid w:val="00416558"/>
    <w:rsid w:val="00461419"/>
    <w:rsid w:val="004B0F7D"/>
    <w:rsid w:val="004C646B"/>
    <w:rsid w:val="004D74D9"/>
    <w:rsid w:val="004E2803"/>
    <w:rsid w:val="00500D33"/>
    <w:rsid w:val="005164D4"/>
    <w:rsid w:val="005177CD"/>
    <w:rsid w:val="00525C34"/>
    <w:rsid w:val="005343F7"/>
    <w:rsid w:val="00543B93"/>
    <w:rsid w:val="0055089A"/>
    <w:rsid w:val="0055419D"/>
    <w:rsid w:val="0056375E"/>
    <w:rsid w:val="00585FC0"/>
    <w:rsid w:val="005A60B5"/>
    <w:rsid w:val="005D1D7E"/>
    <w:rsid w:val="005E2E79"/>
    <w:rsid w:val="00600807"/>
    <w:rsid w:val="0062044C"/>
    <w:rsid w:val="006222E4"/>
    <w:rsid w:val="00626CA4"/>
    <w:rsid w:val="00687EA4"/>
    <w:rsid w:val="00696196"/>
    <w:rsid w:val="006A4EFB"/>
    <w:rsid w:val="006A713A"/>
    <w:rsid w:val="006B2964"/>
    <w:rsid w:val="006C28F1"/>
    <w:rsid w:val="006C47A1"/>
    <w:rsid w:val="00711BF0"/>
    <w:rsid w:val="007132BE"/>
    <w:rsid w:val="0072229F"/>
    <w:rsid w:val="00723D3D"/>
    <w:rsid w:val="007243D7"/>
    <w:rsid w:val="00724F79"/>
    <w:rsid w:val="00753D45"/>
    <w:rsid w:val="0077675E"/>
    <w:rsid w:val="00783A96"/>
    <w:rsid w:val="0079766A"/>
    <w:rsid w:val="007A27BC"/>
    <w:rsid w:val="007A6EE1"/>
    <w:rsid w:val="007D566A"/>
    <w:rsid w:val="007E276E"/>
    <w:rsid w:val="007F26D0"/>
    <w:rsid w:val="00831744"/>
    <w:rsid w:val="00833EB3"/>
    <w:rsid w:val="00843DB8"/>
    <w:rsid w:val="00856314"/>
    <w:rsid w:val="00867277"/>
    <w:rsid w:val="00877DF8"/>
    <w:rsid w:val="00885D2A"/>
    <w:rsid w:val="00894FCB"/>
    <w:rsid w:val="008E6564"/>
    <w:rsid w:val="008E73D8"/>
    <w:rsid w:val="00901D44"/>
    <w:rsid w:val="009155A3"/>
    <w:rsid w:val="00920A1B"/>
    <w:rsid w:val="00921449"/>
    <w:rsid w:val="009236CE"/>
    <w:rsid w:val="00926298"/>
    <w:rsid w:val="00927230"/>
    <w:rsid w:val="00940170"/>
    <w:rsid w:val="009443A1"/>
    <w:rsid w:val="0094641C"/>
    <w:rsid w:val="009873B1"/>
    <w:rsid w:val="009B21A0"/>
    <w:rsid w:val="009C0470"/>
    <w:rsid w:val="009C2CBF"/>
    <w:rsid w:val="009D50E1"/>
    <w:rsid w:val="009E17EF"/>
    <w:rsid w:val="009E1D3D"/>
    <w:rsid w:val="009E3407"/>
    <w:rsid w:val="009E39CC"/>
    <w:rsid w:val="00A05728"/>
    <w:rsid w:val="00A17954"/>
    <w:rsid w:val="00A179E0"/>
    <w:rsid w:val="00A2146E"/>
    <w:rsid w:val="00A247B2"/>
    <w:rsid w:val="00A36A13"/>
    <w:rsid w:val="00A437E0"/>
    <w:rsid w:val="00A822E5"/>
    <w:rsid w:val="00A97C8D"/>
    <w:rsid w:val="00AB4673"/>
    <w:rsid w:val="00AE1BDC"/>
    <w:rsid w:val="00B24133"/>
    <w:rsid w:val="00B26050"/>
    <w:rsid w:val="00B71BF0"/>
    <w:rsid w:val="00B82C78"/>
    <w:rsid w:val="00BA5869"/>
    <w:rsid w:val="00BC22C6"/>
    <w:rsid w:val="00BD6ED9"/>
    <w:rsid w:val="00BE62F8"/>
    <w:rsid w:val="00C52A34"/>
    <w:rsid w:val="00C86C13"/>
    <w:rsid w:val="00C97B87"/>
    <w:rsid w:val="00CA6AE7"/>
    <w:rsid w:val="00CB3C5F"/>
    <w:rsid w:val="00CB7DC3"/>
    <w:rsid w:val="00CC3DC6"/>
    <w:rsid w:val="00CD3EA6"/>
    <w:rsid w:val="00CD6C9A"/>
    <w:rsid w:val="00CE1B81"/>
    <w:rsid w:val="00D002C9"/>
    <w:rsid w:val="00D01F12"/>
    <w:rsid w:val="00D12E00"/>
    <w:rsid w:val="00D23426"/>
    <w:rsid w:val="00D30B86"/>
    <w:rsid w:val="00D54713"/>
    <w:rsid w:val="00D605D7"/>
    <w:rsid w:val="00D63B53"/>
    <w:rsid w:val="00D73062"/>
    <w:rsid w:val="00D87789"/>
    <w:rsid w:val="00D92772"/>
    <w:rsid w:val="00DB7963"/>
    <w:rsid w:val="00DC6D25"/>
    <w:rsid w:val="00DD02DD"/>
    <w:rsid w:val="00DD5B60"/>
    <w:rsid w:val="00DE0D57"/>
    <w:rsid w:val="00DE39E0"/>
    <w:rsid w:val="00E01575"/>
    <w:rsid w:val="00E3644A"/>
    <w:rsid w:val="00E60EC0"/>
    <w:rsid w:val="00E65357"/>
    <w:rsid w:val="00E736D9"/>
    <w:rsid w:val="00E830FF"/>
    <w:rsid w:val="00E83102"/>
    <w:rsid w:val="00E932F1"/>
    <w:rsid w:val="00EA2925"/>
    <w:rsid w:val="00EB7B6D"/>
    <w:rsid w:val="00EC1392"/>
    <w:rsid w:val="00ED1861"/>
    <w:rsid w:val="00EE6BE9"/>
    <w:rsid w:val="00EF3101"/>
    <w:rsid w:val="00F01A77"/>
    <w:rsid w:val="00F070BA"/>
    <w:rsid w:val="00F13C4B"/>
    <w:rsid w:val="00F157F1"/>
    <w:rsid w:val="00F24C93"/>
    <w:rsid w:val="00F263FE"/>
    <w:rsid w:val="00F329EC"/>
    <w:rsid w:val="00F341FA"/>
    <w:rsid w:val="00F6266A"/>
    <w:rsid w:val="00F849DB"/>
    <w:rsid w:val="00F91069"/>
    <w:rsid w:val="00F957B4"/>
    <w:rsid w:val="00FA1C1C"/>
    <w:rsid w:val="00FA309E"/>
    <w:rsid w:val="00FB1E3A"/>
    <w:rsid w:val="00FC098F"/>
    <w:rsid w:val="00FC6A46"/>
    <w:rsid w:val="00FD7F4D"/>
    <w:rsid w:val="00FE1644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79CC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204E" w:themeColor="accent1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F79"/>
  </w:style>
  <w:style w:type="paragraph" w:styleId="Heading1">
    <w:name w:val="heading 1"/>
    <w:basedOn w:val="Normal"/>
    <w:next w:val="Normal"/>
    <w:link w:val="Heading1Char"/>
    <w:uiPriority w:val="9"/>
    <w:qFormat/>
    <w:rsid w:val="00843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173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D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73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D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F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D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7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3D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7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3D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F2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3D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F2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F7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3DB8"/>
    <w:rPr>
      <w:rFonts w:asciiTheme="majorHAnsi" w:eastAsiaTheme="majorEastAsia" w:hAnsiTheme="majorHAnsi" w:cstheme="majorBidi"/>
      <w:color w:val="00173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3DB8"/>
    <w:rPr>
      <w:rFonts w:asciiTheme="majorHAnsi" w:eastAsiaTheme="majorEastAsia" w:hAnsiTheme="majorHAnsi" w:cstheme="majorBidi"/>
      <w:color w:val="00173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3DB8"/>
    <w:rPr>
      <w:rFonts w:asciiTheme="majorHAnsi" w:eastAsiaTheme="majorEastAsia" w:hAnsiTheme="majorHAnsi" w:cstheme="majorBidi"/>
      <w:color w:val="000F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3DB8"/>
    <w:rPr>
      <w:rFonts w:asciiTheme="majorHAnsi" w:eastAsiaTheme="majorEastAsia" w:hAnsiTheme="majorHAnsi" w:cstheme="majorBidi"/>
      <w:i/>
      <w:iCs/>
      <w:color w:val="0017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3DB8"/>
    <w:rPr>
      <w:rFonts w:asciiTheme="majorHAnsi" w:eastAsiaTheme="majorEastAsia" w:hAnsiTheme="majorHAnsi" w:cstheme="majorBidi"/>
      <w:color w:val="0017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43DB8"/>
    <w:rPr>
      <w:rFonts w:asciiTheme="majorHAnsi" w:eastAsiaTheme="majorEastAsia" w:hAnsiTheme="majorHAnsi" w:cstheme="majorBidi"/>
      <w:color w:val="000F2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43DB8"/>
    <w:rPr>
      <w:rFonts w:asciiTheme="majorHAnsi" w:eastAsiaTheme="majorEastAsia" w:hAnsiTheme="majorHAnsi" w:cstheme="majorBidi"/>
      <w:i/>
      <w:iCs/>
      <w:color w:val="000F26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43D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D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3DB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43DB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43DB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43DB8"/>
    <w:rPr>
      <w:i/>
      <w:iCs/>
      <w:color w:val="00204E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1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E2803"/>
    <w:rPr>
      <w:b/>
      <w:bCs/>
    </w:rPr>
  </w:style>
  <w:style w:type="character" w:styleId="Hyperlink">
    <w:name w:val="Hyperlink"/>
    <w:basedOn w:val="DefaultParagraphFont"/>
    <w:uiPriority w:val="99"/>
    <w:unhideWhenUsed/>
    <w:rsid w:val="00753D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3D45"/>
    <w:rPr>
      <w:color w:val="605E5C"/>
      <w:shd w:val="clear" w:color="auto" w:fill="E1DFDD"/>
    </w:rPr>
  </w:style>
  <w:style w:type="paragraph" w:customStyle="1" w:styleId="Default">
    <w:name w:val="Default"/>
    <w:rsid w:val="00135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7A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EE1"/>
  </w:style>
  <w:style w:type="paragraph" w:styleId="Footer">
    <w:name w:val="footer"/>
    <w:basedOn w:val="Normal"/>
    <w:link w:val="FooterChar"/>
    <w:uiPriority w:val="99"/>
    <w:unhideWhenUsed/>
    <w:rsid w:val="007A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EE1"/>
  </w:style>
  <w:style w:type="character" w:styleId="CommentReference">
    <w:name w:val="annotation reference"/>
    <w:basedOn w:val="DefaultParagraphFont"/>
    <w:uiPriority w:val="99"/>
    <w:semiHidden/>
    <w:unhideWhenUsed/>
    <w:rsid w:val="007A6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E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EE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EE1"/>
    <w:rPr>
      <w:b/>
      <w:bCs/>
      <w:szCs w:val="20"/>
    </w:rPr>
  </w:style>
  <w:style w:type="paragraph" w:styleId="BodyText">
    <w:name w:val="Body Text"/>
    <w:link w:val="BodyTextChar"/>
    <w:rsid w:val="00227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iCs/>
      <w:color w:val="000000"/>
      <w:sz w:val="24"/>
      <w:szCs w:val="24"/>
      <w:u w:color="000000"/>
      <w:bdr w:val="nil"/>
      <w:lang w:val="sv-SE" w:eastAsia="sv-SE" w:bidi="he-IL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227AC3"/>
    <w:rPr>
      <w:rFonts w:ascii="Cambria" w:eastAsia="Arial Unicode MS" w:hAnsi="Cambria" w:cs="Arial Unicode MS"/>
      <w:iCs/>
      <w:color w:val="000000"/>
      <w:sz w:val="24"/>
      <w:szCs w:val="24"/>
      <w:u w:color="000000"/>
      <w:bdr w:val="nil"/>
      <w:lang w:val="sv-SE" w:eastAsia="sv-SE" w:bidi="he-IL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566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44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449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4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%201534%208730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an.Box@calligo.i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ABG Sundal Collier Presentation">
  <a:themeElements>
    <a:clrScheme name="ABGSC Colors">
      <a:dk1>
        <a:sysClr val="windowText" lastClr="000000"/>
      </a:dk1>
      <a:lt1>
        <a:sysClr val="window" lastClr="FFFFFF"/>
      </a:lt1>
      <a:dk2>
        <a:srgbClr val="1F487D"/>
      </a:dk2>
      <a:lt2>
        <a:srgbClr val="EEECE1"/>
      </a:lt2>
      <a:accent1>
        <a:srgbClr val="00204E"/>
      </a:accent1>
      <a:accent2>
        <a:srgbClr val="BC895D"/>
      </a:accent2>
      <a:accent3>
        <a:srgbClr val="8CB8C6"/>
      </a:accent3>
      <a:accent4>
        <a:srgbClr val="279989"/>
      </a:accent4>
      <a:accent5>
        <a:srgbClr val="A49B93"/>
      </a:accent5>
      <a:accent6>
        <a:srgbClr val="CD1F48"/>
      </a:accent6>
      <a:hlink>
        <a:srgbClr val="0000FF"/>
      </a:hlink>
      <a:folHlink>
        <a:srgbClr val="0000FF"/>
      </a:folHlink>
    </a:clrScheme>
    <a:fontScheme name="ABG Sundal Collier Holding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accent1"/>
          </a:solidFill>
        </a:ln>
      </a:spPr>
      <a:bodyPr lIns="72000" tIns="72000" rIns="72000" bIns="72000" rtlCol="0" anchor="ctr">
        <a:noAutofit/>
      </a:bodyPr>
      <a:lstStyle>
        <a:defPPr algn="ctr">
          <a:defRPr sz="1200" dirty="0" smtClean="0">
            <a:latin typeface="+mn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>
          <a:defRPr sz="1200" dirty="0" smtClean="0">
            <a:latin typeface="+mn-lt"/>
          </a:defRPr>
        </a:defPPr>
      </a:lstStyle>
    </a:txDef>
  </a:objectDefaults>
  <a:extraClrSchemeLst>
    <a:extraClrScheme>
      <a:clrScheme name="ABG Sundal Collier Holding">
        <a:dk1>
          <a:srgbClr val="000000"/>
        </a:dk1>
        <a:lt1>
          <a:sysClr val="window" lastClr="FFFFFF"/>
        </a:lt1>
        <a:dk2>
          <a:srgbClr val="BD8A5E"/>
        </a:dk2>
        <a:lt2>
          <a:srgbClr val="A49B93"/>
        </a:lt2>
        <a:accent1>
          <a:srgbClr val="00204E"/>
        </a:accent1>
        <a:accent2>
          <a:srgbClr val="8CB8C6"/>
        </a:accent2>
        <a:accent3>
          <a:srgbClr val="BD8A5E"/>
        </a:accent3>
        <a:accent4>
          <a:srgbClr val="1E9D8B"/>
        </a:accent4>
        <a:accent5>
          <a:srgbClr val="A49B93"/>
        </a:accent5>
        <a:accent6>
          <a:srgbClr val="A70240"/>
        </a:accent6>
        <a:hlink>
          <a:srgbClr val="00204E"/>
        </a:hlink>
        <a:folHlink>
          <a:srgbClr val="8CB8C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Navy">
      <a:srgbClr val="00204E"/>
    </a:custClr>
    <a:custClr name="Aqua">
      <a:srgbClr val="8CB8C6"/>
    </a:custClr>
    <a:custClr name="Gold">
      <a:srgbClr val="BD8A5E"/>
    </a:custClr>
    <a:custClr name="Teal ">
      <a:srgbClr val="1E9D8B"/>
    </a:custClr>
    <a:custClr name="Tan">
      <a:srgbClr val="A49B93"/>
    </a:custClr>
    <a:custClr name="Berry">
      <a:srgbClr val="9B6169"/>
    </a:custClr>
    <a:custClr name="Raspberry">
      <a:srgbClr val="A70240"/>
    </a:custClr>
    <a:custClr name="Yellow">
      <a:srgbClr val="FECF36"/>
    </a:custClr>
    <a:custClr name="Black &amp; Body Text">
      <a:srgbClr val="000000"/>
    </a:custClr>
    <a:custClr name="Blank">
      <a:srgbClr val="FFFFFF"/>
    </a:custClr>
    <a:custClr name="Navy 75%">
      <a:srgbClr val="36577E"/>
    </a:custClr>
    <a:custClr name="Aqua 75%">
      <a:srgbClr val="A5C7D2"/>
    </a:custClr>
    <a:custClr name="Gold 75%">
      <a:srgbClr val="CFAB8B"/>
    </a:custClr>
    <a:custClr name="Teal 75%">
      <a:srgbClr val="56AFA3"/>
    </a:custClr>
    <a:custClr name="Tan 75%">
      <a:srgbClr val="C2BCB6"/>
    </a:custClr>
    <a:custClr name="Berry 75%">
      <a:srgbClr val="B1848A"/>
    </a:custClr>
    <a:custClr name="Raspberry 75%">
      <a:srgbClr val="C5587E"/>
    </a:custClr>
    <a:custClr name="Yellow 75%">
      <a:srgbClr val="FBD962"/>
    </a:custClr>
    <a:custClr name="Black 75%">
      <a:srgbClr val="7F7F7F"/>
    </a:custClr>
    <a:custClr name="Blank">
      <a:srgbClr val="FFFFFF"/>
    </a:custClr>
    <a:custClr name="Navy 30%">
      <a:srgbClr val="BDC9D5"/>
    </a:custClr>
    <a:custClr name="Aqua 30%">
      <a:srgbClr val="BFD7DF"/>
    </a:custClr>
    <a:custClr name="Gold 30%">
      <a:srgbClr val="E4CFBE"/>
    </a:custClr>
    <a:custClr name="Teal 30%">
      <a:srgbClr val="99CFC7"/>
    </a:custClr>
    <a:custClr name="Tan 30% &amp; Default Map Fill">
      <a:srgbClr val="D6D2CF"/>
    </a:custClr>
    <a:custClr name="Berry 30%">
      <a:srgbClr val="CEB2B5"/>
    </a:custClr>
    <a:custClr name="Raspberry 30%">
      <a:srgbClr val="DC9BB2"/>
    </a:custClr>
    <a:custClr name="Yellow 30%">
      <a:srgbClr val="FEE48F"/>
    </a:custClr>
    <a:custClr name="Black 30%">
      <a:srgbClr val="BABABA"/>
    </a:custClr>
    <a:custClr name="White">
      <a:srgbClr val="FFFFFF"/>
    </a:custClr>
    <a:custClr name="Navy 10%">
      <a:srgbClr val="DCE2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ck 10%">
      <a:srgbClr val="DDDDDD"/>
    </a:custClr>
    <a:custClr name="Blank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 D O K ! 5 8 5 9 1 8 5 . 1 < / d o c u m e n t i d >  
     < s e n d e r i d > J B F L < / s e n d e r i d >  
     < s e n d e r e m a i l > J A K O B . F O R S E L L @ G D A . S E < / s e n d e r e m a i l >  
     < l a s t m o d i f i e d > 2 0 2 2 - 1 1 - 1 0 T 0 9 : 1 3 : 0 0 . 0 0 0 0 0 0 0 + 0 1 : 0 0 < / l a s t m o d i f i e d >  
     < d a t a b a s e > D O K 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12E5-5A9E-4128-9C6F-FFF9A4CC416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2E1DC32-F6CA-441C-B969-3C6C71C7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951</Characters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